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68F" w:rsidRPr="0003568F" w:rsidRDefault="0003568F" w:rsidP="0003568F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iCs/>
          <w:sz w:val="22"/>
          <w:szCs w:val="22"/>
        </w:rPr>
      </w:pPr>
      <w:bookmarkStart w:id="0" w:name="_GoBack"/>
      <w:bookmarkEnd w:id="0"/>
      <w:r w:rsidRPr="0003568F">
        <w:rPr>
          <w:rFonts w:ascii="Arial" w:hAnsi="Arial" w:cs="Arial"/>
          <w:sz w:val="22"/>
          <w:szCs w:val="22"/>
        </w:rPr>
        <w:t>The Trade and Investment Queensland Board (</w:t>
      </w:r>
      <w:r w:rsidR="005C1322">
        <w:rPr>
          <w:rFonts w:ascii="Arial" w:hAnsi="Arial" w:cs="Arial"/>
          <w:sz w:val="22"/>
          <w:szCs w:val="22"/>
        </w:rPr>
        <w:t xml:space="preserve">TIQ </w:t>
      </w:r>
      <w:r w:rsidRPr="0003568F">
        <w:rPr>
          <w:rFonts w:ascii="Arial" w:hAnsi="Arial" w:cs="Arial"/>
          <w:sz w:val="22"/>
          <w:szCs w:val="22"/>
        </w:rPr>
        <w:t xml:space="preserve">Board) was established in 2013 under </w:t>
      </w:r>
      <w:r w:rsidRPr="0003568F">
        <w:rPr>
          <w:rFonts w:ascii="Arial" w:hAnsi="Arial" w:cs="Arial"/>
          <w:bCs/>
          <w:spacing w:val="-3"/>
          <w:sz w:val="22"/>
          <w:szCs w:val="22"/>
        </w:rPr>
        <w:t>section</w:t>
      </w:r>
      <w:r w:rsidRPr="0003568F">
        <w:rPr>
          <w:rFonts w:ascii="Arial" w:hAnsi="Arial" w:cs="Arial"/>
          <w:sz w:val="22"/>
          <w:szCs w:val="22"/>
        </w:rPr>
        <w:t xml:space="preserve"> 16 of the </w:t>
      </w:r>
      <w:r w:rsidRPr="0003568F">
        <w:rPr>
          <w:rFonts w:ascii="Arial" w:hAnsi="Arial" w:cs="Arial"/>
          <w:i/>
          <w:sz w:val="22"/>
          <w:szCs w:val="22"/>
        </w:rPr>
        <w:t>Trade and Investment Queensland Act 2013</w:t>
      </w:r>
      <w:r>
        <w:rPr>
          <w:rFonts w:ascii="Arial" w:hAnsi="Arial" w:cs="Arial"/>
          <w:sz w:val="22"/>
          <w:szCs w:val="22"/>
        </w:rPr>
        <w:t xml:space="preserve"> (the Act).</w:t>
      </w:r>
    </w:p>
    <w:p w:rsidR="0003568F" w:rsidRPr="00272CA9" w:rsidRDefault="0003568F" w:rsidP="0003568F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Section 17 of the Act provides the </w:t>
      </w:r>
      <w:r w:rsidR="005C1322">
        <w:rPr>
          <w:rFonts w:ascii="Arial" w:hAnsi="Arial" w:cs="Arial"/>
          <w:sz w:val="22"/>
          <w:szCs w:val="22"/>
        </w:rPr>
        <w:t xml:space="preserve">TIQ </w:t>
      </w:r>
      <w:r>
        <w:rPr>
          <w:rFonts w:ascii="Arial" w:hAnsi="Arial" w:cs="Arial"/>
          <w:sz w:val="22"/>
          <w:szCs w:val="22"/>
        </w:rPr>
        <w:t>Board is responsible for the way Trade and Investment Queensland performs its functions, including ensuring Trade and Investment Queensland performs its functions in a proper, effective and efficient way.</w:t>
      </w:r>
    </w:p>
    <w:p w:rsidR="008F780B" w:rsidRPr="001359FB" w:rsidRDefault="00272CA9" w:rsidP="00272CA9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Trade and Investment Queensland</w:t>
      </w:r>
      <w:r w:rsidR="008F780B">
        <w:rPr>
          <w:rFonts w:ascii="Arial" w:hAnsi="Arial" w:cs="Arial"/>
          <w:sz w:val="22"/>
          <w:szCs w:val="22"/>
        </w:rPr>
        <w:t xml:space="preserve"> is the Government’s lead agency responsible for facilitating and promoting trade and investment opportunities for Queensland, </w:t>
      </w:r>
      <w:r w:rsidR="00E94221">
        <w:rPr>
          <w:rFonts w:ascii="Arial" w:hAnsi="Arial" w:cs="Arial"/>
          <w:sz w:val="22"/>
          <w:szCs w:val="22"/>
        </w:rPr>
        <w:t xml:space="preserve">including between Queensland </w:t>
      </w:r>
      <w:r w:rsidR="008F780B">
        <w:rPr>
          <w:rFonts w:ascii="Arial" w:hAnsi="Arial" w:cs="Arial"/>
          <w:sz w:val="22"/>
          <w:szCs w:val="22"/>
        </w:rPr>
        <w:t>and foreign countries.</w:t>
      </w:r>
    </w:p>
    <w:p w:rsidR="001359FB" w:rsidRPr="008F780B" w:rsidRDefault="001359FB" w:rsidP="00272CA9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iCs/>
          <w:sz w:val="22"/>
          <w:szCs w:val="22"/>
        </w:rPr>
      </w:pPr>
      <w:r w:rsidRPr="001359FB">
        <w:rPr>
          <w:rFonts w:ascii="Arial" w:hAnsi="Arial" w:cs="Arial"/>
          <w:iCs/>
          <w:sz w:val="22"/>
          <w:szCs w:val="22"/>
        </w:rPr>
        <w:t xml:space="preserve">The </w:t>
      </w:r>
      <w:r>
        <w:rPr>
          <w:rFonts w:ascii="Arial" w:hAnsi="Arial" w:cs="Arial"/>
          <w:iCs/>
          <w:sz w:val="22"/>
          <w:szCs w:val="22"/>
        </w:rPr>
        <w:t xml:space="preserve">TIQ </w:t>
      </w:r>
      <w:r w:rsidRPr="001359FB">
        <w:rPr>
          <w:rFonts w:ascii="Arial" w:hAnsi="Arial" w:cs="Arial"/>
          <w:iCs/>
          <w:sz w:val="22"/>
          <w:szCs w:val="22"/>
        </w:rPr>
        <w:t>Board is to consist of at least four, but not more than seven members appointed by the Governor in Council</w:t>
      </w:r>
      <w:r>
        <w:rPr>
          <w:rFonts w:ascii="Arial" w:hAnsi="Arial" w:cs="Arial"/>
          <w:iCs/>
          <w:sz w:val="22"/>
          <w:szCs w:val="22"/>
        </w:rPr>
        <w:t xml:space="preserve"> for a term of up to five years, one of whom is appointed as the chairperson. The Board must include </w:t>
      </w:r>
      <w:r w:rsidRPr="001359FB">
        <w:rPr>
          <w:rFonts w:ascii="Arial" w:hAnsi="Arial" w:cs="Arial"/>
          <w:iCs/>
          <w:sz w:val="22"/>
          <w:szCs w:val="22"/>
        </w:rPr>
        <w:t xml:space="preserve">two departmental representatives as stipulated under </w:t>
      </w:r>
      <w:r>
        <w:rPr>
          <w:rFonts w:ascii="Arial" w:hAnsi="Arial" w:cs="Arial"/>
          <w:iCs/>
          <w:sz w:val="22"/>
          <w:szCs w:val="22"/>
        </w:rPr>
        <w:t xml:space="preserve">section 16 of </w:t>
      </w:r>
      <w:r w:rsidRPr="001359FB">
        <w:rPr>
          <w:rFonts w:ascii="Arial" w:hAnsi="Arial" w:cs="Arial"/>
          <w:iCs/>
          <w:sz w:val="22"/>
          <w:szCs w:val="22"/>
        </w:rPr>
        <w:t xml:space="preserve">the Act (the chief executive, or a senior executive nominated by the chief executive, of both the department responsible for administering the Act and the department responsible for administering the </w:t>
      </w:r>
      <w:r w:rsidRPr="001359FB">
        <w:rPr>
          <w:rFonts w:ascii="Arial" w:hAnsi="Arial" w:cs="Arial"/>
          <w:i/>
          <w:iCs/>
          <w:sz w:val="22"/>
          <w:szCs w:val="22"/>
        </w:rPr>
        <w:t>State Development and Public Works Organisation Act 1971</w:t>
      </w:r>
      <w:r w:rsidRPr="001359FB">
        <w:rPr>
          <w:rFonts w:ascii="Arial" w:hAnsi="Arial" w:cs="Arial"/>
          <w:iCs/>
          <w:sz w:val="22"/>
          <w:szCs w:val="22"/>
        </w:rPr>
        <w:t>).</w:t>
      </w:r>
    </w:p>
    <w:p w:rsidR="00C872BE" w:rsidRPr="00C872BE" w:rsidRDefault="008F780B" w:rsidP="00C872BE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chairperson (Mr Mark Stockwell) </w:t>
      </w:r>
      <w:r w:rsidR="00F5286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endered his resignation as chairperson and member of the TIQ Board, effective on the appointment of a new chairperson.</w:t>
      </w:r>
      <w:r w:rsidR="00C872BE" w:rsidRPr="00C872BE">
        <w:rPr>
          <w:rFonts w:eastAsia="Times New Roman"/>
          <w:iCs/>
          <w:color w:val="auto"/>
          <w:szCs w:val="24"/>
          <w:lang w:eastAsia="en-US"/>
        </w:rPr>
        <w:t xml:space="preserve"> </w:t>
      </w:r>
      <w:r w:rsidR="00C872BE" w:rsidRPr="00C872BE">
        <w:rPr>
          <w:rFonts w:ascii="Arial" w:hAnsi="Arial" w:cs="Arial"/>
          <w:iCs/>
          <w:sz w:val="22"/>
          <w:szCs w:val="22"/>
        </w:rPr>
        <w:t>The membership of the two departmental representatives, Ms Helen Gluer and Mr David Edwards</w:t>
      </w:r>
      <w:r w:rsidR="00F5286B">
        <w:rPr>
          <w:rFonts w:ascii="Arial" w:hAnsi="Arial" w:cs="Arial"/>
          <w:iCs/>
          <w:sz w:val="22"/>
          <w:szCs w:val="22"/>
        </w:rPr>
        <w:t>,</w:t>
      </w:r>
      <w:r w:rsidR="00C872BE" w:rsidRPr="00C872BE">
        <w:rPr>
          <w:rFonts w:ascii="Arial" w:hAnsi="Arial" w:cs="Arial"/>
          <w:iCs/>
          <w:sz w:val="22"/>
          <w:szCs w:val="22"/>
        </w:rPr>
        <w:t xml:space="preserve"> ended when their respective positions of Under Treasurer and Director-General, Department of State Development, Infrastructure and Planning ceased.</w:t>
      </w:r>
    </w:p>
    <w:p w:rsidR="00B5076D" w:rsidRDefault="0003568F" w:rsidP="008F780B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sz w:val="22"/>
          <w:szCs w:val="22"/>
        </w:rPr>
      </w:pPr>
      <w:r w:rsidRPr="00D811AC">
        <w:rPr>
          <w:rFonts w:ascii="Arial" w:hAnsi="Arial" w:cs="Arial"/>
          <w:sz w:val="22"/>
          <w:szCs w:val="22"/>
          <w:u w:val="single"/>
        </w:rPr>
        <w:t>Cabinet endorsed</w:t>
      </w:r>
      <w:r w:rsidRPr="00D811AC">
        <w:rPr>
          <w:rFonts w:ascii="Arial" w:hAnsi="Arial" w:cs="Arial"/>
          <w:sz w:val="22"/>
          <w:szCs w:val="22"/>
        </w:rPr>
        <w:t xml:space="preserve"> that </w:t>
      </w:r>
      <w:r w:rsidR="005C1322">
        <w:rPr>
          <w:rFonts w:ascii="Arial" w:hAnsi="Arial" w:cs="Arial"/>
          <w:sz w:val="22"/>
          <w:szCs w:val="22"/>
        </w:rPr>
        <w:t xml:space="preserve">the Honourable Stephen Bredhauer be recommended to the Governor in Council for appointment as </w:t>
      </w:r>
      <w:r w:rsidR="00467AB3">
        <w:rPr>
          <w:rFonts w:ascii="Arial" w:hAnsi="Arial" w:cs="Arial"/>
          <w:sz w:val="22"/>
          <w:szCs w:val="22"/>
        </w:rPr>
        <w:t xml:space="preserve">the </w:t>
      </w:r>
      <w:r w:rsidR="00375B8B">
        <w:rPr>
          <w:rFonts w:ascii="Arial" w:hAnsi="Arial" w:cs="Arial"/>
          <w:sz w:val="22"/>
          <w:szCs w:val="22"/>
        </w:rPr>
        <w:t>c</w:t>
      </w:r>
      <w:r w:rsidR="005C1322">
        <w:rPr>
          <w:rFonts w:ascii="Arial" w:hAnsi="Arial" w:cs="Arial"/>
          <w:sz w:val="22"/>
          <w:szCs w:val="22"/>
        </w:rPr>
        <w:t>hairperson</w:t>
      </w:r>
      <w:r w:rsidR="00375B8B">
        <w:rPr>
          <w:rFonts w:ascii="Arial" w:hAnsi="Arial" w:cs="Arial"/>
          <w:sz w:val="22"/>
          <w:szCs w:val="22"/>
        </w:rPr>
        <w:t xml:space="preserve"> </w:t>
      </w:r>
      <w:r w:rsidR="00612BFB">
        <w:rPr>
          <w:rFonts w:ascii="Arial" w:hAnsi="Arial" w:cs="Arial"/>
          <w:sz w:val="22"/>
          <w:szCs w:val="22"/>
        </w:rPr>
        <w:t xml:space="preserve">of the TIQ Board </w:t>
      </w:r>
      <w:r w:rsidR="00B5076D">
        <w:rPr>
          <w:rFonts w:ascii="Arial" w:hAnsi="Arial" w:cs="Arial"/>
          <w:sz w:val="22"/>
          <w:szCs w:val="22"/>
        </w:rPr>
        <w:t xml:space="preserve">from </w:t>
      </w:r>
      <w:r w:rsidR="00F5286B">
        <w:rPr>
          <w:rFonts w:ascii="Arial" w:hAnsi="Arial" w:cs="Arial"/>
          <w:sz w:val="22"/>
          <w:szCs w:val="22"/>
        </w:rPr>
        <w:t>17 December 2015 to 1 </w:t>
      </w:r>
      <w:r w:rsidR="00B5076D">
        <w:rPr>
          <w:rFonts w:ascii="Arial" w:hAnsi="Arial" w:cs="Arial"/>
          <w:sz w:val="22"/>
          <w:szCs w:val="22"/>
        </w:rPr>
        <w:t>Octo</w:t>
      </w:r>
      <w:r w:rsidR="00F5286B">
        <w:rPr>
          <w:rFonts w:ascii="Arial" w:hAnsi="Arial" w:cs="Arial"/>
          <w:sz w:val="22"/>
          <w:szCs w:val="22"/>
        </w:rPr>
        <w:t>ber 2016.</w:t>
      </w:r>
    </w:p>
    <w:p w:rsidR="00F5286B" w:rsidRPr="00F5286B" w:rsidRDefault="00B347B0" w:rsidP="00F5286B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Cabinet noted</w:t>
      </w:r>
      <w:r w:rsidR="00375B8B" w:rsidRPr="00B5076D">
        <w:rPr>
          <w:rFonts w:ascii="Arial" w:hAnsi="Arial" w:cs="Arial"/>
          <w:sz w:val="22"/>
          <w:szCs w:val="22"/>
        </w:rPr>
        <w:t xml:space="preserve"> </w:t>
      </w:r>
      <w:r w:rsidR="00612BFB" w:rsidRPr="00B5076D">
        <w:rPr>
          <w:rFonts w:ascii="Arial" w:hAnsi="Arial" w:cs="Arial"/>
          <w:sz w:val="22"/>
          <w:szCs w:val="22"/>
        </w:rPr>
        <w:t xml:space="preserve">that </w:t>
      </w:r>
      <w:r w:rsidR="00F324A7" w:rsidRPr="00B5076D">
        <w:rPr>
          <w:rFonts w:ascii="Arial" w:hAnsi="Arial" w:cs="Arial"/>
          <w:sz w:val="22"/>
          <w:szCs w:val="22"/>
        </w:rPr>
        <w:t xml:space="preserve">two departmental representatives </w:t>
      </w:r>
      <w:r w:rsidR="00F5286B">
        <w:rPr>
          <w:rFonts w:ascii="Arial" w:hAnsi="Arial" w:cs="Arial"/>
          <w:sz w:val="22"/>
          <w:szCs w:val="22"/>
        </w:rPr>
        <w:t xml:space="preserve">would </w:t>
      </w:r>
      <w:r w:rsidR="00F324A7" w:rsidRPr="00B5076D">
        <w:rPr>
          <w:rFonts w:ascii="Arial" w:hAnsi="Arial" w:cs="Arial"/>
          <w:sz w:val="22"/>
          <w:szCs w:val="22"/>
        </w:rPr>
        <w:t xml:space="preserve">be recommended to the Governor in Council for appointment as </w:t>
      </w:r>
      <w:r w:rsidR="005C1322" w:rsidRPr="00B5076D">
        <w:rPr>
          <w:rFonts w:ascii="Arial" w:hAnsi="Arial" w:cs="Arial"/>
          <w:sz w:val="22"/>
          <w:szCs w:val="22"/>
        </w:rPr>
        <w:t>member</w:t>
      </w:r>
      <w:r w:rsidR="00467AB3" w:rsidRPr="00B5076D">
        <w:rPr>
          <w:rFonts w:ascii="Arial" w:hAnsi="Arial" w:cs="Arial"/>
          <w:sz w:val="22"/>
          <w:szCs w:val="22"/>
        </w:rPr>
        <w:t xml:space="preserve">s </w:t>
      </w:r>
      <w:r w:rsidR="00F324A7" w:rsidRPr="00B5076D">
        <w:rPr>
          <w:rFonts w:ascii="Arial" w:hAnsi="Arial" w:cs="Arial"/>
          <w:sz w:val="22"/>
          <w:szCs w:val="22"/>
        </w:rPr>
        <w:t>of the TIQ Board</w:t>
      </w:r>
      <w:r w:rsidR="00C872BE" w:rsidRPr="00B5076D">
        <w:rPr>
          <w:rFonts w:ascii="Arial" w:hAnsi="Arial" w:cs="Arial"/>
          <w:sz w:val="22"/>
          <w:szCs w:val="22"/>
        </w:rPr>
        <w:t xml:space="preserve"> by virtue of their position</w:t>
      </w:r>
      <w:r w:rsidR="00116DBB">
        <w:rPr>
          <w:rFonts w:ascii="Arial" w:hAnsi="Arial" w:cs="Arial"/>
          <w:sz w:val="22"/>
          <w:szCs w:val="22"/>
        </w:rPr>
        <w:t>.</w:t>
      </w:r>
      <w:r w:rsidR="00F5286B" w:rsidRPr="00F5286B">
        <w:rPr>
          <w:rFonts w:ascii="Arial" w:hAnsi="Arial"/>
          <w:sz w:val="22"/>
        </w:rPr>
        <w:t xml:space="preserve"> </w:t>
      </w:r>
    </w:p>
    <w:p w:rsidR="00F5286B" w:rsidRPr="00F5286B" w:rsidRDefault="00F5286B" w:rsidP="00F5286B">
      <w:pPr>
        <w:numPr>
          <w:ilvl w:val="0"/>
          <w:numId w:val="1"/>
        </w:numPr>
        <w:tabs>
          <w:tab w:val="clear" w:pos="720"/>
          <w:tab w:val="num" w:pos="360"/>
        </w:tabs>
        <w:spacing w:before="360"/>
        <w:ind w:left="360"/>
        <w:jc w:val="both"/>
        <w:rPr>
          <w:rFonts w:ascii="Arial" w:hAnsi="Arial" w:cs="Arial"/>
          <w:sz w:val="22"/>
          <w:szCs w:val="22"/>
        </w:rPr>
      </w:pPr>
      <w:r w:rsidRPr="00F5286B">
        <w:rPr>
          <w:rFonts w:ascii="Arial" w:hAnsi="Arial" w:cs="Arial"/>
          <w:i/>
          <w:sz w:val="22"/>
          <w:szCs w:val="22"/>
          <w:u w:val="single"/>
        </w:rPr>
        <w:t>Attachments</w:t>
      </w:r>
    </w:p>
    <w:p w:rsidR="00467AB3" w:rsidRPr="00F5286B" w:rsidRDefault="00F5286B" w:rsidP="00F5286B">
      <w:pPr>
        <w:numPr>
          <w:ilvl w:val="0"/>
          <w:numId w:val="12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F5286B">
        <w:rPr>
          <w:rFonts w:ascii="Arial" w:hAnsi="Arial" w:cs="Arial"/>
          <w:sz w:val="22"/>
          <w:szCs w:val="22"/>
        </w:rPr>
        <w:t>Nil.</w:t>
      </w:r>
    </w:p>
    <w:sectPr w:rsidR="00467AB3" w:rsidRPr="00F5286B" w:rsidSect="00B347B0">
      <w:headerReference w:type="default" r:id="rId7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4546" w:rsidRDefault="00804546" w:rsidP="00D6589B">
      <w:r>
        <w:separator/>
      </w:r>
    </w:p>
  </w:endnote>
  <w:endnote w:type="continuationSeparator" w:id="0">
    <w:p w:rsidR="00804546" w:rsidRDefault="00804546" w:rsidP="00D6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4546" w:rsidRDefault="00804546" w:rsidP="00D6589B">
      <w:r>
        <w:separator/>
      </w:r>
    </w:p>
  </w:footnote>
  <w:footnote w:type="continuationSeparator" w:id="0">
    <w:p w:rsidR="00804546" w:rsidRDefault="00804546" w:rsidP="00D658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47B0" w:rsidRPr="00937A4A" w:rsidRDefault="00B347B0" w:rsidP="00B347B0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color w:val="auto"/>
        <w:sz w:val="28"/>
        <w:szCs w:val="22"/>
        <w:lang w:eastAsia="en-US"/>
      </w:rPr>
    </w:pPr>
    <w:r w:rsidRPr="00937A4A">
      <w:rPr>
        <w:rFonts w:ascii="Arial" w:hAnsi="Arial" w:cs="Arial"/>
        <w:b/>
        <w:color w:val="auto"/>
        <w:sz w:val="28"/>
        <w:szCs w:val="22"/>
        <w:lang w:eastAsia="en-US"/>
      </w:rPr>
      <w:t>Queensland Government</w:t>
    </w:r>
  </w:p>
  <w:p w:rsidR="00B347B0" w:rsidRPr="00937A4A" w:rsidRDefault="00B347B0" w:rsidP="00B347B0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rFonts w:ascii="Arial" w:hAnsi="Arial" w:cs="Arial"/>
        <w:b/>
        <w:color w:val="auto"/>
        <w:sz w:val="14"/>
        <w:szCs w:val="22"/>
        <w:u w:val="single"/>
        <w:lang w:eastAsia="en-US"/>
      </w:rPr>
    </w:pPr>
  </w:p>
  <w:p w:rsidR="00B347B0" w:rsidRPr="00937A4A" w:rsidRDefault="00B347B0" w:rsidP="00B347B0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color w:val="auto"/>
        <w:sz w:val="22"/>
        <w:szCs w:val="22"/>
        <w:lang w:eastAsia="en-US"/>
      </w:rPr>
    </w:pPr>
    <w:r w:rsidRPr="00937A4A">
      <w:rPr>
        <w:rFonts w:ascii="Arial" w:hAnsi="Arial" w:cs="Arial"/>
        <w:b/>
        <w:color w:val="auto"/>
        <w:sz w:val="22"/>
        <w:szCs w:val="22"/>
        <w:lang w:eastAsia="en-US"/>
      </w:rPr>
      <w:t xml:space="preserve">Cabinet – </w:t>
    </w:r>
    <w:r>
      <w:rPr>
        <w:rFonts w:ascii="Arial" w:hAnsi="Arial" w:cs="Arial"/>
        <w:b/>
        <w:color w:val="auto"/>
        <w:sz w:val="22"/>
        <w:szCs w:val="22"/>
        <w:lang w:eastAsia="en-US"/>
      </w:rPr>
      <w:t>December 2015</w:t>
    </w:r>
  </w:p>
  <w:p w:rsidR="00B347B0" w:rsidRDefault="00B347B0" w:rsidP="00B347B0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 w:rsidRPr="00375B8B">
      <w:rPr>
        <w:rFonts w:ascii="Arial" w:hAnsi="Arial" w:cs="Arial"/>
        <w:b/>
        <w:sz w:val="22"/>
        <w:szCs w:val="22"/>
        <w:u w:val="single"/>
      </w:rPr>
      <w:t xml:space="preserve">Appointment of </w:t>
    </w:r>
    <w:r>
      <w:rPr>
        <w:rFonts w:ascii="Arial" w:hAnsi="Arial" w:cs="Arial"/>
        <w:b/>
        <w:sz w:val="22"/>
        <w:szCs w:val="22"/>
        <w:u w:val="single"/>
      </w:rPr>
      <w:t xml:space="preserve">the </w:t>
    </w:r>
    <w:r w:rsidRPr="00375B8B">
      <w:rPr>
        <w:rFonts w:ascii="Arial" w:hAnsi="Arial" w:cs="Arial"/>
        <w:b/>
        <w:sz w:val="22"/>
        <w:szCs w:val="22"/>
        <w:u w:val="single"/>
      </w:rPr>
      <w:t xml:space="preserve">chairperson and </w:t>
    </w:r>
    <w:r>
      <w:rPr>
        <w:rFonts w:ascii="Arial" w:hAnsi="Arial" w:cs="Arial"/>
        <w:b/>
        <w:sz w:val="22"/>
        <w:szCs w:val="22"/>
        <w:u w:val="single"/>
      </w:rPr>
      <w:t xml:space="preserve">two </w:t>
    </w:r>
    <w:r w:rsidRPr="00375B8B">
      <w:rPr>
        <w:rFonts w:ascii="Arial" w:hAnsi="Arial" w:cs="Arial"/>
        <w:b/>
        <w:sz w:val="22"/>
        <w:szCs w:val="22"/>
        <w:u w:val="single"/>
      </w:rPr>
      <w:t>member</w:t>
    </w:r>
    <w:r>
      <w:rPr>
        <w:rFonts w:ascii="Arial" w:hAnsi="Arial" w:cs="Arial"/>
        <w:b/>
        <w:sz w:val="22"/>
        <w:szCs w:val="22"/>
        <w:u w:val="single"/>
      </w:rPr>
      <w:t>s</w:t>
    </w:r>
    <w:r w:rsidRPr="00375B8B">
      <w:rPr>
        <w:rFonts w:ascii="Arial" w:hAnsi="Arial" w:cs="Arial"/>
        <w:b/>
        <w:sz w:val="22"/>
        <w:szCs w:val="22"/>
        <w:u w:val="single"/>
      </w:rPr>
      <w:t xml:space="preserve"> of the Trade and Investment Queensland Board</w:t>
    </w:r>
  </w:p>
  <w:p w:rsidR="00B347B0" w:rsidRDefault="00B347B0" w:rsidP="00B347B0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Deputy Premier, Minister for Infrastructure, Local Government and Planning and Minister for Trade and Investment</w:t>
    </w:r>
  </w:p>
  <w:p w:rsidR="005355AB" w:rsidRDefault="005355AB" w:rsidP="00D6589B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AE5CCD"/>
    <w:multiLevelType w:val="hybridMultilevel"/>
    <w:tmpl w:val="DFD6973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cs="Times New Roman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7385888"/>
    <w:multiLevelType w:val="hybridMultilevel"/>
    <w:tmpl w:val="3DB4A344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9A97029"/>
    <w:multiLevelType w:val="hybridMultilevel"/>
    <w:tmpl w:val="4B66F03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D9C7170"/>
    <w:multiLevelType w:val="hybridMultilevel"/>
    <w:tmpl w:val="5EFEB8E8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90001">
      <w:start w:val="1"/>
      <w:numFmt w:val="bullet"/>
      <w:lvlText w:val="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1461493"/>
    <w:multiLevelType w:val="hybridMultilevel"/>
    <w:tmpl w:val="11E8711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6B0382B"/>
    <w:multiLevelType w:val="hybridMultilevel"/>
    <w:tmpl w:val="295C05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24350A"/>
    <w:multiLevelType w:val="hybridMultilevel"/>
    <w:tmpl w:val="03CE6D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9E5A22"/>
    <w:multiLevelType w:val="hybridMultilevel"/>
    <w:tmpl w:val="468619A6"/>
    <w:lvl w:ilvl="0" w:tplc="13BEC2E4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6E0753E8"/>
    <w:multiLevelType w:val="hybridMultilevel"/>
    <w:tmpl w:val="78CE1B68"/>
    <w:lvl w:ilvl="0" w:tplc="DA2A1A9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8FD0C05E">
      <w:start w:val="1"/>
      <w:numFmt w:val="none"/>
      <w:lvlText w:val="-"/>
      <w:lvlJc w:val="left"/>
      <w:pPr>
        <w:tabs>
          <w:tab w:val="num" w:pos="1437"/>
        </w:tabs>
        <w:ind w:left="1437" w:hanging="357"/>
      </w:pPr>
      <w:rPr>
        <w:rFonts w:ascii="Symbol" w:hAnsi="Symbol" w:cs="Times New Roman" w:hint="default"/>
        <w:b w:val="0"/>
        <w:i w:val="0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7428745A"/>
    <w:multiLevelType w:val="hybridMultilevel"/>
    <w:tmpl w:val="1BFE4876"/>
    <w:lvl w:ilvl="0" w:tplc="D1C2A9F2">
      <w:start w:val="1"/>
      <w:numFmt w:val="lowerLetter"/>
      <w:lvlText w:val="(%1)"/>
      <w:lvlJc w:val="left"/>
      <w:pPr>
        <w:ind w:left="659" w:hanging="37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364" w:hanging="360"/>
      </w:pPr>
    </w:lvl>
    <w:lvl w:ilvl="2" w:tplc="0C09001B" w:tentative="1">
      <w:start w:val="1"/>
      <w:numFmt w:val="lowerRoman"/>
      <w:lvlText w:val="%3."/>
      <w:lvlJc w:val="right"/>
      <w:pPr>
        <w:ind w:left="2084" w:hanging="180"/>
      </w:pPr>
    </w:lvl>
    <w:lvl w:ilvl="3" w:tplc="0C09000F" w:tentative="1">
      <w:start w:val="1"/>
      <w:numFmt w:val="decimal"/>
      <w:lvlText w:val="%4."/>
      <w:lvlJc w:val="left"/>
      <w:pPr>
        <w:ind w:left="2804" w:hanging="360"/>
      </w:pPr>
    </w:lvl>
    <w:lvl w:ilvl="4" w:tplc="0C090019" w:tentative="1">
      <w:start w:val="1"/>
      <w:numFmt w:val="lowerLetter"/>
      <w:lvlText w:val="%5."/>
      <w:lvlJc w:val="left"/>
      <w:pPr>
        <w:ind w:left="3524" w:hanging="360"/>
      </w:pPr>
    </w:lvl>
    <w:lvl w:ilvl="5" w:tplc="0C09001B" w:tentative="1">
      <w:start w:val="1"/>
      <w:numFmt w:val="lowerRoman"/>
      <w:lvlText w:val="%6."/>
      <w:lvlJc w:val="right"/>
      <w:pPr>
        <w:ind w:left="4244" w:hanging="180"/>
      </w:pPr>
    </w:lvl>
    <w:lvl w:ilvl="6" w:tplc="0C09000F" w:tentative="1">
      <w:start w:val="1"/>
      <w:numFmt w:val="decimal"/>
      <w:lvlText w:val="%7."/>
      <w:lvlJc w:val="left"/>
      <w:pPr>
        <w:ind w:left="4964" w:hanging="360"/>
      </w:pPr>
    </w:lvl>
    <w:lvl w:ilvl="7" w:tplc="0C090019" w:tentative="1">
      <w:start w:val="1"/>
      <w:numFmt w:val="lowerLetter"/>
      <w:lvlText w:val="%8."/>
      <w:lvlJc w:val="left"/>
      <w:pPr>
        <w:ind w:left="5684" w:hanging="360"/>
      </w:pPr>
    </w:lvl>
    <w:lvl w:ilvl="8" w:tplc="0C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7F176F87"/>
    <w:multiLevelType w:val="hybridMultilevel"/>
    <w:tmpl w:val="0B868F0A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90001">
      <w:start w:val="1"/>
      <w:numFmt w:val="bullet"/>
      <w:lvlText w:val="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0"/>
  </w:num>
  <w:num w:numId="3">
    <w:abstractNumId w:val="8"/>
  </w:num>
  <w:num w:numId="4">
    <w:abstractNumId w:val="0"/>
  </w:num>
  <w:num w:numId="5">
    <w:abstractNumId w:val="3"/>
  </w:num>
  <w:num w:numId="6">
    <w:abstractNumId w:val="2"/>
  </w:num>
  <w:num w:numId="7">
    <w:abstractNumId w:val="7"/>
  </w:num>
  <w:num w:numId="8">
    <w:abstractNumId w:val="4"/>
  </w:num>
  <w:num w:numId="9">
    <w:abstractNumId w:val="9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defaultTabStop w:val="720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89B"/>
    <w:rsid w:val="0003568F"/>
    <w:rsid w:val="000430DD"/>
    <w:rsid w:val="00047C20"/>
    <w:rsid w:val="0005653D"/>
    <w:rsid w:val="00056B15"/>
    <w:rsid w:val="00080F8F"/>
    <w:rsid w:val="000B0A86"/>
    <w:rsid w:val="000B28A5"/>
    <w:rsid w:val="000D0E3B"/>
    <w:rsid w:val="000E2853"/>
    <w:rsid w:val="000F3542"/>
    <w:rsid w:val="00116D30"/>
    <w:rsid w:val="00116DBB"/>
    <w:rsid w:val="001359FB"/>
    <w:rsid w:val="00140936"/>
    <w:rsid w:val="00174117"/>
    <w:rsid w:val="001E209B"/>
    <w:rsid w:val="001E713F"/>
    <w:rsid w:val="0021344B"/>
    <w:rsid w:val="0022700F"/>
    <w:rsid w:val="00272CA9"/>
    <w:rsid w:val="00275195"/>
    <w:rsid w:val="00280D31"/>
    <w:rsid w:val="002F644E"/>
    <w:rsid w:val="00310916"/>
    <w:rsid w:val="00342B7E"/>
    <w:rsid w:val="00375B8B"/>
    <w:rsid w:val="003B5871"/>
    <w:rsid w:val="003D290A"/>
    <w:rsid w:val="003D7C36"/>
    <w:rsid w:val="003F0302"/>
    <w:rsid w:val="003F69BB"/>
    <w:rsid w:val="00435E15"/>
    <w:rsid w:val="004663F9"/>
    <w:rsid w:val="00467AB3"/>
    <w:rsid w:val="00480A6B"/>
    <w:rsid w:val="00495A34"/>
    <w:rsid w:val="004C4774"/>
    <w:rsid w:val="004E1809"/>
    <w:rsid w:val="004E3AE1"/>
    <w:rsid w:val="00501C66"/>
    <w:rsid w:val="00532CF7"/>
    <w:rsid w:val="005355AB"/>
    <w:rsid w:val="00541C64"/>
    <w:rsid w:val="00550873"/>
    <w:rsid w:val="0057269C"/>
    <w:rsid w:val="005B7596"/>
    <w:rsid w:val="005C1322"/>
    <w:rsid w:val="006020C6"/>
    <w:rsid w:val="00612BFB"/>
    <w:rsid w:val="006315FD"/>
    <w:rsid w:val="00646C5D"/>
    <w:rsid w:val="00673A28"/>
    <w:rsid w:val="006B375E"/>
    <w:rsid w:val="006D3AAA"/>
    <w:rsid w:val="007269D3"/>
    <w:rsid w:val="00732E22"/>
    <w:rsid w:val="00776A30"/>
    <w:rsid w:val="0080339B"/>
    <w:rsid w:val="00804546"/>
    <w:rsid w:val="008A4523"/>
    <w:rsid w:val="008C06E7"/>
    <w:rsid w:val="008F44CD"/>
    <w:rsid w:val="008F780B"/>
    <w:rsid w:val="009058A8"/>
    <w:rsid w:val="00947C68"/>
    <w:rsid w:val="0098342B"/>
    <w:rsid w:val="00995D5C"/>
    <w:rsid w:val="009F1732"/>
    <w:rsid w:val="00A350E1"/>
    <w:rsid w:val="00A527A5"/>
    <w:rsid w:val="00A66ECB"/>
    <w:rsid w:val="00AC217A"/>
    <w:rsid w:val="00AD09A9"/>
    <w:rsid w:val="00AE0100"/>
    <w:rsid w:val="00B02776"/>
    <w:rsid w:val="00B347B0"/>
    <w:rsid w:val="00B43072"/>
    <w:rsid w:val="00B5076D"/>
    <w:rsid w:val="00B51764"/>
    <w:rsid w:val="00B53794"/>
    <w:rsid w:val="00B80748"/>
    <w:rsid w:val="00BD07CF"/>
    <w:rsid w:val="00BE63D8"/>
    <w:rsid w:val="00C07656"/>
    <w:rsid w:val="00C75E67"/>
    <w:rsid w:val="00C872BE"/>
    <w:rsid w:val="00C966D7"/>
    <w:rsid w:val="00CA3850"/>
    <w:rsid w:val="00CB1501"/>
    <w:rsid w:val="00CC6358"/>
    <w:rsid w:val="00CE2BC5"/>
    <w:rsid w:val="00CE6FBA"/>
    <w:rsid w:val="00CF0D8A"/>
    <w:rsid w:val="00D24110"/>
    <w:rsid w:val="00D30EFF"/>
    <w:rsid w:val="00D555EF"/>
    <w:rsid w:val="00D60B9B"/>
    <w:rsid w:val="00D62862"/>
    <w:rsid w:val="00D6589B"/>
    <w:rsid w:val="00D71F4C"/>
    <w:rsid w:val="00D75134"/>
    <w:rsid w:val="00D821C0"/>
    <w:rsid w:val="00DB6FE7"/>
    <w:rsid w:val="00DC6532"/>
    <w:rsid w:val="00DE61EC"/>
    <w:rsid w:val="00E01F3F"/>
    <w:rsid w:val="00E13E17"/>
    <w:rsid w:val="00E15ACC"/>
    <w:rsid w:val="00E94221"/>
    <w:rsid w:val="00F10DF9"/>
    <w:rsid w:val="00F324A7"/>
    <w:rsid w:val="00F5286B"/>
    <w:rsid w:val="00F53AE3"/>
    <w:rsid w:val="00F60BCA"/>
    <w:rsid w:val="00F84539"/>
    <w:rsid w:val="00FA0BBF"/>
    <w:rsid w:val="00FA44C2"/>
    <w:rsid w:val="00FB0DF8"/>
    <w:rsid w:val="00FC0122"/>
    <w:rsid w:val="00FF0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589B"/>
    <w:rPr>
      <w:rFonts w:ascii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locked/>
    <w:rsid w:val="00D6589B"/>
    <w:rPr>
      <w:rFonts w:cs="Times New Roman"/>
    </w:rPr>
  </w:style>
  <w:style w:type="paragraph" w:styleId="Footer">
    <w:name w:val="footer"/>
    <w:basedOn w:val="Normal"/>
    <w:link w:val="FooterChar"/>
    <w:semiHidden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semiHidden/>
    <w:locked/>
    <w:rsid w:val="00D6589B"/>
    <w:rPr>
      <w:rFonts w:cs="Times New Roman"/>
    </w:rPr>
  </w:style>
  <w:style w:type="paragraph" w:styleId="BalloonText">
    <w:name w:val="Balloon Text"/>
    <w:basedOn w:val="Normal"/>
    <w:link w:val="BalloonTextChar"/>
    <w:semiHidden/>
    <w:rsid w:val="00D65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D6589B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DC6532"/>
    <w:rPr>
      <w:sz w:val="16"/>
      <w:szCs w:val="16"/>
    </w:rPr>
  </w:style>
  <w:style w:type="paragraph" w:styleId="CommentText">
    <w:name w:val="annotation text"/>
    <w:basedOn w:val="Normal"/>
    <w:link w:val="CommentTextChar"/>
    <w:rsid w:val="00DC6532"/>
    <w:rPr>
      <w:sz w:val="20"/>
    </w:rPr>
  </w:style>
  <w:style w:type="character" w:customStyle="1" w:styleId="CommentTextChar">
    <w:name w:val="Comment Text Char"/>
    <w:link w:val="CommentText"/>
    <w:rsid w:val="00DC6532"/>
    <w:rPr>
      <w:rFonts w:ascii="Times New Roman" w:hAnsi="Times New Roman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rsid w:val="00DC6532"/>
    <w:rPr>
      <w:b/>
      <w:bCs/>
    </w:rPr>
  </w:style>
  <w:style w:type="character" w:customStyle="1" w:styleId="CommentSubjectChar">
    <w:name w:val="Comment Subject Char"/>
    <w:link w:val="CommentSubject"/>
    <w:rsid w:val="00DC6532"/>
    <w:rPr>
      <w:rFonts w:ascii="Times New Roman" w:hAnsi="Times New Roman"/>
      <w:b/>
      <w:bCs/>
      <w:color w:val="000000"/>
    </w:rPr>
  </w:style>
  <w:style w:type="paragraph" w:styleId="ListParagraph">
    <w:name w:val="List Paragraph"/>
    <w:basedOn w:val="Normal"/>
    <w:uiPriority w:val="34"/>
    <w:qFormat/>
    <w:rsid w:val="0003568F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045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301</Words>
  <Characters>1650</Characters>
  <Application>Microsoft Office Word</Application>
  <DocSecurity>0</DocSecurity>
  <Lines>26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1944</CharactersWithSpaces>
  <SharedDoc>false</SharedDoc>
  <HyperlinkBase>https://www.cabinet.qld.gov.au/documents/2015/Dec/Appt TIQ/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2</cp:revision>
  <cp:lastPrinted>2016-03-01T04:48:00Z</cp:lastPrinted>
  <dcterms:created xsi:type="dcterms:W3CDTF">2017-10-25T01:31:00Z</dcterms:created>
  <dcterms:modified xsi:type="dcterms:W3CDTF">2018-03-06T01:27:00Z</dcterms:modified>
  <cp:category>Significant_Appointments,Trade,Investment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